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6BBD" w14:textId="77777777" w:rsidR="00BF0366" w:rsidRPr="006847EA" w:rsidRDefault="00BF0366" w:rsidP="003D6098">
      <w:pPr>
        <w:pStyle w:val="Nagwek1"/>
        <w:rPr>
          <w:color w:val="000000"/>
        </w:rPr>
      </w:pPr>
      <w:bookmarkStart w:id="0" w:name="_GoBack"/>
      <w:bookmarkEnd w:id="0"/>
      <w:r w:rsidRPr="006847EA">
        <w:rPr>
          <w:color w:val="000000"/>
        </w:rPr>
        <w:t>REKTOR</w:t>
      </w:r>
    </w:p>
    <w:p w14:paraId="7A74EDE6" w14:textId="0A6A00AE" w:rsidR="004A1838" w:rsidRPr="006847EA" w:rsidRDefault="004A1838" w:rsidP="00F665FF">
      <w:pPr>
        <w:pStyle w:val="Nagwekdokumentu"/>
        <w:rPr>
          <w:color w:val="000000"/>
        </w:rPr>
      </w:pPr>
      <w:r w:rsidRPr="006847EA">
        <w:rPr>
          <w:color w:val="000000"/>
        </w:rPr>
        <w:t>ZARZĄDZENIE WEWNĘTRZNE</w:t>
      </w:r>
      <w:r w:rsidR="006F1D68" w:rsidRPr="006847EA">
        <w:rPr>
          <w:color w:val="000000"/>
        </w:rPr>
        <w:t xml:space="preserve"> </w:t>
      </w:r>
      <w:r w:rsidR="006F7A57">
        <w:rPr>
          <w:color w:val="000000"/>
        </w:rPr>
        <w:t>104</w:t>
      </w:r>
      <w:r w:rsidR="00915B51">
        <w:rPr>
          <w:color w:val="000000"/>
        </w:rPr>
        <w:t>/2022</w:t>
      </w:r>
    </w:p>
    <w:p w14:paraId="72D79241" w14:textId="7161BA87" w:rsidR="00963FFF" w:rsidRPr="006847EA" w:rsidRDefault="00963FFF" w:rsidP="00963FFF">
      <w:pPr>
        <w:pStyle w:val="Zdnia"/>
        <w:rPr>
          <w:strike/>
          <w:color w:val="000000"/>
        </w:rPr>
      </w:pPr>
      <w:r w:rsidRPr="006847EA">
        <w:rPr>
          <w:color w:val="000000"/>
        </w:rPr>
        <w:t>z dnia</w:t>
      </w:r>
      <w:r w:rsidR="001A0DED" w:rsidRPr="006847EA">
        <w:rPr>
          <w:color w:val="000000"/>
        </w:rPr>
        <w:t xml:space="preserve"> </w:t>
      </w:r>
      <w:r w:rsidR="006F7A57">
        <w:rPr>
          <w:color w:val="000000"/>
        </w:rPr>
        <w:t>3 listopada</w:t>
      </w:r>
      <w:r w:rsidR="00915B51">
        <w:rPr>
          <w:color w:val="000000"/>
        </w:rPr>
        <w:t xml:space="preserve"> 2022 r.</w:t>
      </w:r>
    </w:p>
    <w:p w14:paraId="5312B1A3" w14:textId="77777777" w:rsidR="00D95A16" w:rsidRPr="006847EA" w:rsidRDefault="00EB165F" w:rsidP="0030471E">
      <w:pPr>
        <w:pStyle w:val="Tytudokumentu"/>
        <w:rPr>
          <w:color w:val="000000"/>
        </w:rPr>
      </w:pPr>
      <w:r w:rsidRPr="006847EA">
        <w:rPr>
          <w:color w:val="000000"/>
        </w:rPr>
        <w:t xml:space="preserve">w sprawie zasad finansowania, rozliczania i organizowania konferencji naukowych </w:t>
      </w:r>
      <w:r w:rsidR="006D6185" w:rsidRPr="006847EA">
        <w:rPr>
          <w:color w:val="000000"/>
        </w:rPr>
        <w:br/>
      </w:r>
      <w:r w:rsidRPr="006847EA">
        <w:rPr>
          <w:color w:val="000000"/>
        </w:rPr>
        <w:t>oraz innyc</w:t>
      </w:r>
      <w:r w:rsidR="005C7146" w:rsidRPr="006847EA">
        <w:rPr>
          <w:color w:val="000000"/>
        </w:rPr>
        <w:t xml:space="preserve">h imprez o charakterze naukowym </w:t>
      </w:r>
      <w:r w:rsidR="00245283" w:rsidRPr="006847EA">
        <w:rPr>
          <w:color w:val="000000"/>
        </w:rPr>
        <w:t>organizowanych przez Politechnikę Wrocławską</w:t>
      </w:r>
    </w:p>
    <w:p w14:paraId="0F3594F5" w14:textId="77777777" w:rsidR="0030471E" w:rsidRPr="00C873AE" w:rsidRDefault="00915B51" w:rsidP="00C873AE">
      <w:pPr>
        <w:tabs>
          <w:tab w:val="left" w:pos="851"/>
        </w:tabs>
        <w:spacing w:after="240"/>
        <w:jc w:val="both"/>
        <w:rPr>
          <w:color w:val="000000"/>
        </w:rPr>
      </w:pPr>
      <w:r w:rsidRPr="009E121C">
        <w:t xml:space="preserve">Na podstawie art. 23 ust. 2 pkt 2 ustawy z dnia 20 lipca 2018 roku </w:t>
      </w:r>
      <w:r w:rsidRPr="009E121C">
        <w:rPr>
          <w:i/>
        </w:rPr>
        <w:t>Prawo o szkolnictwie wyższym i nauce</w:t>
      </w:r>
      <w:r>
        <w:t xml:space="preserve"> (t. j. Dz. U. 2022 poz. 574</w:t>
      </w:r>
      <w:r w:rsidRPr="009E121C">
        <w:t xml:space="preserve"> z </w:t>
      </w:r>
      <w:proofErr w:type="spellStart"/>
      <w:r w:rsidRPr="009E121C">
        <w:t>późn</w:t>
      </w:r>
      <w:proofErr w:type="spellEnd"/>
      <w:r w:rsidRPr="009E121C">
        <w:t xml:space="preserve">. zm.) </w:t>
      </w:r>
      <w:r w:rsidR="0030471E" w:rsidRPr="006847EA">
        <w:rPr>
          <w:color w:val="000000"/>
        </w:rPr>
        <w:t>zarządza się co następuje:</w:t>
      </w:r>
    </w:p>
    <w:p w14:paraId="15A02D35" w14:textId="77777777" w:rsidR="0030471E" w:rsidRPr="006847EA" w:rsidRDefault="0030471E" w:rsidP="00A40F96">
      <w:pPr>
        <w:tabs>
          <w:tab w:val="left" w:pos="4536"/>
        </w:tabs>
        <w:jc w:val="center"/>
        <w:rPr>
          <w:color w:val="000000"/>
        </w:rPr>
      </w:pPr>
      <w:r w:rsidRPr="006847EA">
        <w:rPr>
          <w:color w:val="000000"/>
        </w:rPr>
        <w:t>§ 1</w:t>
      </w:r>
    </w:p>
    <w:p w14:paraId="3CF3188E" w14:textId="46F5669E" w:rsidR="0027343D" w:rsidRDefault="0027343D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27343D">
        <w:rPr>
          <w:rFonts w:ascii="Times New Roman" w:hAnsi="Times New Roman"/>
          <w:color w:val="000000"/>
        </w:rPr>
        <w:t>Konferencja ma na celu prezentację osiągnięć naukowych, wymianę doświadczeń własnych pracowników lub przy współudziale pracowników innych instytucji naukowych</w:t>
      </w:r>
      <w:r w:rsidR="00EE23A7">
        <w:rPr>
          <w:rFonts w:ascii="Times New Roman" w:hAnsi="Times New Roman"/>
          <w:color w:val="000000"/>
        </w:rPr>
        <w:t>.</w:t>
      </w:r>
      <w:r w:rsidRPr="0027343D">
        <w:rPr>
          <w:rFonts w:ascii="Times New Roman" w:hAnsi="Times New Roman"/>
          <w:color w:val="000000"/>
        </w:rPr>
        <w:t xml:space="preserve"> </w:t>
      </w:r>
    </w:p>
    <w:p w14:paraId="5501D24E" w14:textId="0017496A" w:rsidR="0030471E" w:rsidRPr="00C873AE" w:rsidRDefault="0030471E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Organizatorem konferencji </w:t>
      </w:r>
      <w:r w:rsidR="0027343D">
        <w:rPr>
          <w:rFonts w:ascii="Times New Roman" w:hAnsi="Times New Roman"/>
          <w:color w:val="000000"/>
        </w:rPr>
        <w:t xml:space="preserve">lub </w:t>
      </w:r>
      <w:r w:rsidRPr="006847EA">
        <w:rPr>
          <w:rFonts w:ascii="Times New Roman" w:hAnsi="Times New Roman"/>
          <w:color w:val="000000"/>
        </w:rPr>
        <w:t xml:space="preserve"> innej imprezy o charakterze  naukowym</w:t>
      </w:r>
      <w:r w:rsidR="001A0DED" w:rsidRPr="006847EA">
        <w:rPr>
          <w:rFonts w:ascii="Times New Roman" w:hAnsi="Times New Roman"/>
          <w:color w:val="000000"/>
        </w:rPr>
        <w:t>,</w:t>
      </w:r>
      <w:r w:rsidRPr="006847EA">
        <w:rPr>
          <w:rFonts w:ascii="Times New Roman" w:hAnsi="Times New Roman"/>
          <w:color w:val="000000"/>
        </w:rPr>
        <w:t xml:space="preserve"> zwanej dalej „konferencją”</w:t>
      </w:r>
      <w:r w:rsidR="001A0DED" w:rsidRPr="006847EA">
        <w:rPr>
          <w:rFonts w:ascii="Times New Roman" w:hAnsi="Times New Roman"/>
          <w:color w:val="000000"/>
        </w:rPr>
        <w:t>,</w:t>
      </w:r>
      <w:r w:rsidRPr="006847EA">
        <w:rPr>
          <w:rFonts w:ascii="Times New Roman" w:hAnsi="Times New Roman"/>
          <w:color w:val="000000"/>
        </w:rPr>
        <w:t xml:space="preserve"> mogą być jednostki organizacyjne Uczelni za zgodą</w:t>
      </w:r>
      <w:r w:rsidR="00C47CF8" w:rsidRPr="006847EA">
        <w:rPr>
          <w:rFonts w:ascii="Times New Roman" w:hAnsi="Times New Roman"/>
          <w:color w:val="000000"/>
        </w:rPr>
        <w:t xml:space="preserve"> </w:t>
      </w:r>
      <w:r w:rsidR="006C3E7A">
        <w:rPr>
          <w:rFonts w:ascii="Times New Roman" w:hAnsi="Times New Roman"/>
          <w:color w:val="000000"/>
        </w:rPr>
        <w:t>odpowiednio: Prorektora</w:t>
      </w:r>
      <w:r w:rsidRPr="006847EA">
        <w:rPr>
          <w:rFonts w:ascii="Times New Roman" w:hAnsi="Times New Roman"/>
          <w:color w:val="000000"/>
        </w:rPr>
        <w:t>/Dziekana</w:t>
      </w:r>
      <w:r w:rsidR="00022D5C" w:rsidRPr="006847EA">
        <w:rPr>
          <w:rFonts w:ascii="Times New Roman" w:hAnsi="Times New Roman"/>
          <w:color w:val="000000"/>
        </w:rPr>
        <w:t>.</w:t>
      </w:r>
    </w:p>
    <w:p w14:paraId="41EDE88E" w14:textId="77777777" w:rsidR="0030471E" w:rsidRPr="00C873AE" w:rsidRDefault="0030471E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Jednostki organizacyjne mogą organizować konfere</w:t>
      </w:r>
      <w:r w:rsidR="001A0DED" w:rsidRPr="006847EA">
        <w:rPr>
          <w:rFonts w:ascii="Times New Roman" w:hAnsi="Times New Roman"/>
          <w:color w:val="000000"/>
        </w:rPr>
        <w:t>ncje samodzielnie lub zlecić ich</w:t>
      </w:r>
      <w:r w:rsidRPr="006847EA">
        <w:rPr>
          <w:rFonts w:ascii="Times New Roman" w:hAnsi="Times New Roman"/>
          <w:color w:val="000000"/>
        </w:rPr>
        <w:t xml:space="preserve"> obsługę w zakresie technicznym</w:t>
      </w:r>
      <w:r w:rsidR="00054BC2" w:rsidRPr="006847EA">
        <w:rPr>
          <w:rFonts w:ascii="Times New Roman" w:hAnsi="Times New Roman"/>
          <w:color w:val="000000"/>
        </w:rPr>
        <w:t>,</w:t>
      </w:r>
      <w:r w:rsidRPr="006847EA">
        <w:rPr>
          <w:rFonts w:ascii="Times New Roman" w:hAnsi="Times New Roman"/>
          <w:color w:val="000000"/>
        </w:rPr>
        <w:t xml:space="preserve"> logistycznym </w:t>
      </w:r>
      <w:r w:rsidR="00985F7D" w:rsidRPr="006847EA">
        <w:rPr>
          <w:rFonts w:ascii="Times New Roman" w:hAnsi="Times New Roman"/>
          <w:color w:val="000000"/>
        </w:rPr>
        <w:t>Biuru Konferencji i Wydarzeń Politechniki Wrocławskiej.</w:t>
      </w:r>
    </w:p>
    <w:p w14:paraId="5EFF70D7" w14:textId="77777777" w:rsidR="0030471E" w:rsidRPr="00C873AE" w:rsidRDefault="0030471E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Zlecanie organizac</w:t>
      </w:r>
      <w:r w:rsidR="00817925" w:rsidRPr="006847EA">
        <w:rPr>
          <w:rFonts w:ascii="Times New Roman" w:hAnsi="Times New Roman"/>
          <w:color w:val="000000"/>
        </w:rPr>
        <w:t xml:space="preserve">ji konferencji jednostkom/podmiotom </w:t>
      </w:r>
      <w:r w:rsidRPr="006847EA">
        <w:rPr>
          <w:rFonts w:ascii="Times New Roman" w:hAnsi="Times New Roman"/>
          <w:color w:val="000000"/>
        </w:rPr>
        <w:t xml:space="preserve">zewnętrznym </w:t>
      </w:r>
      <w:r w:rsidR="005C5D48" w:rsidRPr="006847EA">
        <w:rPr>
          <w:rFonts w:ascii="Times New Roman" w:hAnsi="Times New Roman"/>
          <w:color w:val="000000"/>
        </w:rPr>
        <w:t xml:space="preserve"> z pominięciem trybu określonego</w:t>
      </w:r>
      <w:r w:rsidRPr="006847EA">
        <w:rPr>
          <w:rFonts w:ascii="Times New Roman" w:hAnsi="Times New Roman"/>
          <w:color w:val="000000"/>
        </w:rPr>
        <w:t xml:space="preserve"> w §1 ust. 2 wymaga każdorazowo pisemnej zgody Rektora</w:t>
      </w:r>
      <w:r w:rsidR="001A0DED" w:rsidRPr="006847EA">
        <w:rPr>
          <w:rFonts w:ascii="Times New Roman" w:hAnsi="Times New Roman"/>
          <w:color w:val="000000"/>
        </w:rPr>
        <w:t xml:space="preserve"> lub właściwego Prorektora</w:t>
      </w:r>
      <w:r w:rsidRPr="006847EA">
        <w:rPr>
          <w:rFonts w:ascii="Times New Roman" w:hAnsi="Times New Roman"/>
          <w:color w:val="000000"/>
        </w:rPr>
        <w:t>.</w:t>
      </w:r>
    </w:p>
    <w:p w14:paraId="0898DF78" w14:textId="77777777" w:rsidR="00D26A30" w:rsidRPr="00C873AE" w:rsidRDefault="0030471E" w:rsidP="00C873AE">
      <w:pPr>
        <w:pStyle w:val="Akapitzlist"/>
        <w:numPr>
          <w:ilvl w:val="0"/>
          <w:numId w:val="22"/>
        </w:numPr>
        <w:spacing w:after="240"/>
        <w:ind w:left="425" w:hanging="357"/>
        <w:jc w:val="both"/>
        <w:rPr>
          <w:color w:val="000000"/>
          <w:sz w:val="24"/>
        </w:rPr>
      </w:pPr>
      <w:r w:rsidRPr="006847EA">
        <w:rPr>
          <w:color w:val="000000"/>
          <w:sz w:val="24"/>
        </w:rPr>
        <w:t>Organizator konferencji ma obowiązek zgłoszenia do</w:t>
      </w:r>
      <w:r w:rsidR="005C7146" w:rsidRPr="006847EA">
        <w:rPr>
          <w:color w:val="000000"/>
          <w:sz w:val="24"/>
        </w:rPr>
        <w:t xml:space="preserve"> </w:t>
      </w:r>
      <w:r w:rsidR="004C66D9" w:rsidRPr="006847EA">
        <w:rPr>
          <w:color w:val="000000"/>
          <w:sz w:val="24"/>
        </w:rPr>
        <w:t>Biura Konferencji i Wydarzeń</w:t>
      </w:r>
      <w:r w:rsidR="00BA2BD6" w:rsidRPr="006847EA">
        <w:rPr>
          <w:color w:val="000000"/>
          <w:sz w:val="24"/>
        </w:rPr>
        <w:t xml:space="preserve"> Politechniki Wrocławskiej</w:t>
      </w:r>
      <w:r w:rsidR="004C66D9" w:rsidRPr="006847EA">
        <w:rPr>
          <w:color w:val="000000"/>
          <w:sz w:val="24"/>
        </w:rPr>
        <w:t xml:space="preserve"> </w:t>
      </w:r>
      <w:r w:rsidRPr="006847EA">
        <w:rPr>
          <w:color w:val="000000"/>
          <w:sz w:val="24"/>
        </w:rPr>
        <w:t>tematu (nazwy), miejsca i terminu odbywania się konferencji w celu umieszczenia jej w uczelnianym terminarzu konferencyjnym w terminie nie późn</w:t>
      </w:r>
      <w:r w:rsidR="00FD476E" w:rsidRPr="006847EA">
        <w:rPr>
          <w:color w:val="000000"/>
          <w:sz w:val="24"/>
        </w:rPr>
        <w:t xml:space="preserve">iej niż </w:t>
      </w:r>
      <w:r w:rsidRPr="006847EA">
        <w:rPr>
          <w:color w:val="000000"/>
          <w:sz w:val="24"/>
        </w:rPr>
        <w:t>1 miesiąc przed planowanym terminem rozpoczęcia konferencji.</w:t>
      </w:r>
    </w:p>
    <w:p w14:paraId="6BC1BFA1" w14:textId="77777777" w:rsidR="001C2CBF" w:rsidRPr="00C873AE" w:rsidRDefault="00D26A30" w:rsidP="00C873AE">
      <w:pPr>
        <w:pStyle w:val="Akapitzlist"/>
        <w:numPr>
          <w:ilvl w:val="0"/>
          <w:numId w:val="22"/>
        </w:numPr>
        <w:spacing w:after="240"/>
        <w:ind w:left="425" w:hanging="357"/>
        <w:jc w:val="both"/>
        <w:rPr>
          <w:color w:val="000000"/>
          <w:sz w:val="24"/>
        </w:rPr>
      </w:pPr>
      <w:r w:rsidRPr="006847EA">
        <w:rPr>
          <w:color w:val="000000"/>
          <w:sz w:val="24"/>
        </w:rPr>
        <w:t xml:space="preserve">Najem </w:t>
      </w:r>
      <w:r w:rsidR="001A0DED" w:rsidRPr="006847EA">
        <w:rPr>
          <w:color w:val="000000"/>
          <w:sz w:val="24"/>
        </w:rPr>
        <w:t xml:space="preserve">uczelnianych </w:t>
      </w:r>
      <w:r w:rsidRPr="006847EA">
        <w:rPr>
          <w:color w:val="000000"/>
          <w:sz w:val="24"/>
        </w:rPr>
        <w:t xml:space="preserve">pomieszczeń, </w:t>
      </w:r>
      <w:r w:rsidR="002D7D39" w:rsidRPr="006847EA">
        <w:rPr>
          <w:color w:val="000000"/>
          <w:sz w:val="24"/>
        </w:rPr>
        <w:t>powie</w:t>
      </w:r>
      <w:r w:rsidR="001A0DED" w:rsidRPr="006847EA">
        <w:rPr>
          <w:color w:val="000000"/>
          <w:sz w:val="24"/>
        </w:rPr>
        <w:t>rzchni korytarzy, holi i terenów</w:t>
      </w:r>
      <w:r w:rsidR="002D7D39" w:rsidRPr="006847EA">
        <w:rPr>
          <w:color w:val="000000"/>
          <w:sz w:val="24"/>
        </w:rPr>
        <w:t xml:space="preserve"> na potrzeby organizacji konferencji i innych imprez o charakterze naukowym odbywa się zgodnie </w:t>
      </w:r>
      <w:r w:rsidR="001A0DED" w:rsidRPr="006847EA">
        <w:rPr>
          <w:color w:val="000000"/>
          <w:sz w:val="24"/>
        </w:rPr>
        <w:br/>
      </w:r>
      <w:r w:rsidR="002D7D39" w:rsidRPr="006847EA">
        <w:rPr>
          <w:color w:val="000000"/>
          <w:sz w:val="24"/>
        </w:rPr>
        <w:t>z zasadami obowiązującymi w tym zakresie w Uczelni.</w:t>
      </w:r>
    </w:p>
    <w:p w14:paraId="1E97854B" w14:textId="77777777" w:rsidR="0030471E" w:rsidRPr="006847EA" w:rsidRDefault="0030471E" w:rsidP="00C873AE">
      <w:pPr>
        <w:pStyle w:val="Tekstpodstawowy"/>
        <w:tabs>
          <w:tab w:val="left" w:pos="4536"/>
        </w:tabs>
        <w:spacing w:line="240" w:lineRule="auto"/>
        <w:ind w:firstLine="426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2</w:t>
      </w:r>
    </w:p>
    <w:p w14:paraId="35E15A87" w14:textId="77777777" w:rsidR="0030471E" w:rsidRPr="006847EA" w:rsidRDefault="0030471E" w:rsidP="00242E85">
      <w:pPr>
        <w:pStyle w:val="Tekstpodstawowy"/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Konferencje mogą być finansowane lub dofinansowywane</w:t>
      </w:r>
      <w:r w:rsidR="00222832" w:rsidRPr="006847EA">
        <w:rPr>
          <w:rFonts w:ascii="Times New Roman" w:hAnsi="Times New Roman"/>
          <w:color w:val="000000"/>
        </w:rPr>
        <w:t xml:space="preserve"> z następujących źródeł</w:t>
      </w:r>
      <w:r w:rsidRPr="006847EA">
        <w:rPr>
          <w:rFonts w:ascii="Times New Roman" w:hAnsi="Times New Roman"/>
          <w:color w:val="000000"/>
        </w:rPr>
        <w:t>:</w:t>
      </w:r>
    </w:p>
    <w:p w14:paraId="215AB414" w14:textId="77777777" w:rsidR="0030471E" w:rsidRPr="006847EA" w:rsidRDefault="0030471E" w:rsidP="007A01BE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opłat wnoszonych przez uczestników konferencji lub zatrudniające ich instytucje krajowe </w:t>
      </w:r>
      <w:r w:rsidR="007A01BE" w:rsidRPr="006847EA">
        <w:rPr>
          <w:rFonts w:ascii="Times New Roman" w:hAnsi="Times New Roman"/>
          <w:color w:val="000000"/>
        </w:rPr>
        <w:t>i zagraniczne;</w:t>
      </w:r>
    </w:p>
    <w:p w14:paraId="2FBB1E3C" w14:textId="77777777" w:rsidR="0030471E" w:rsidRPr="006847EA" w:rsidRDefault="0030471E" w:rsidP="007A01BE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środków przeznaczonych na ten cel w budżetach projektów</w:t>
      </w:r>
      <w:r w:rsidR="007A01BE" w:rsidRPr="006847EA">
        <w:rPr>
          <w:rFonts w:ascii="Times New Roman" w:hAnsi="Times New Roman"/>
          <w:color w:val="000000"/>
        </w:rPr>
        <w:t xml:space="preserve"> naukowo-badawczych;</w:t>
      </w:r>
    </w:p>
    <w:p w14:paraId="3883BBC3" w14:textId="77777777" w:rsidR="0030471E" w:rsidRPr="006847EA" w:rsidRDefault="0030471E" w:rsidP="00E55E84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dotacji i środków uzyskanych od </w:t>
      </w:r>
      <w:r w:rsidR="00E55E84" w:rsidRPr="006847EA">
        <w:rPr>
          <w:rFonts w:ascii="Times New Roman" w:hAnsi="Times New Roman"/>
          <w:color w:val="000000"/>
        </w:rPr>
        <w:t>instytucji</w:t>
      </w:r>
      <w:r w:rsidR="00665450" w:rsidRPr="006847EA">
        <w:rPr>
          <w:rFonts w:ascii="Times New Roman" w:hAnsi="Times New Roman"/>
          <w:color w:val="000000"/>
        </w:rPr>
        <w:t xml:space="preserve"> finansujących (</w:t>
      </w:r>
      <w:r w:rsidR="004E3812" w:rsidRPr="006847EA">
        <w:rPr>
          <w:rFonts w:ascii="Times New Roman" w:hAnsi="Times New Roman"/>
          <w:color w:val="000000"/>
        </w:rPr>
        <w:t xml:space="preserve">min.: </w:t>
      </w:r>
      <w:proofErr w:type="spellStart"/>
      <w:r w:rsidR="00665450" w:rsidRPr="006847EA">
        <w:rPr>
          <w:rFonts w:ascii="Times New Roman" w:hAnsi="Times New Roman"/>
          <w:color w:val="000000"/>
        </w:rPr>
        <w:t>MEiN</w:t>
      </w:r>
      <w:proofErr w:type="spellEnd"/>
      <w:r w:rsidR="00665450" w:rsidRPr="006847EA">
        <w:rPr>
          <w:rFonts w:ascii="Times New Roman" w:hAnsi="Times New Roman"/>
          <w:color w:val="000000"/>
        </w:rPr>
        <w:t xml:space="preserve">, NCN, </w:t>
      </w:r>
      <w:proofErr w:type="spellStart"/>
      <w:r w:rsidR="00665450" w:rsidRPr="006847EA">
        <w:rPr>
          <w:rFonts w:ascii="Times New Roman" w:hAnsi="Times New Roman"/>
          <w:color w:val="000000"/>
        </w:rPr>
        <w:t>NCBiR</w:t>
      </w:r>
      <w:proofErr w:type="spellEnd"/>
      <w:r w:rsidR="00665450" w:rsidRPr="006847EA">
        <w:rPr>
          <w:rFonts w:ascii="Times New Roman" w:hAnsi="Times New Roman"/>
          <w:color w:val="000000"/>
        </w:rPr>
        <w:t>) i pozostałych instytucji</w:t>
      </w:r>
      <w:r w:rsidR="00E55E84" w:rsidRPr="006847EA">
        <w:rPr>
          <w:rFonts w:ascii="Times New Roman" w:hAnsi="Times New Roman"/>
          <w:color w:val="000000"/>
        </w:rPr>
        <w:t>;</w:t>
      </w:r>
    </w:p>
    <w:p w14:paraId="30C70B1F" w14:textId="77777777" w:rsidR="00105D5E" w:rsidRPr="00C873AE" w:rsidRDefault="0030471E" w:rsidP="00C873AE">
      <w:pPr>
        <w:pStyle w:val="Tekstpodstawowy"/>
        <w:numPr>
          <w:ilvl w:val="0"/>
          <w:numId w:val="26"/>
        </w:numPr>
        <w:spacing w:after="240" w:line="240" w:lineRule="auto"/>
        <w:ind w:left="114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środków sponsorów oraz darczyńców.</w:t>
      </w:r>
    </w:p>
    <w:p w14:paraId="5F027196" w14:textId="77777777" w:rsidR="00654946" w:rsidRDefault="00654946" w:rsidP="005B24F2">
      <w:pPr>
        <w:pStyle w:val="Akapitzlist"/>
        <w:ind w:left="360"/>
        <w:jc w:val="center"/>
        <w:rPr>
          <w:color w:val="000000"/>
          <w:sz w:val="24"/>
          <w:szCs w:val="24"/>
        </w:rPr>
      </w:pPr>
    </w:p>
    <w:p w14:paraId="7BCC72B6" w14:textId="77777777" w:rsidR="00654946" w:rsidRDefault="00654946" w:rsidP="005B24F2">
      <w:pPr>
        <w:pStyle w:val="Akapitzlist"/>
        <w:ind w:left="360"/>
        <w:jc w:val="center"/>
        <w:rPr>
          <w:color w:val="000000"/>
          <w:sz w:val="24"/>
          <w:szCs w:val="24"/>
        </w:rPr>
      </w:pPr>
    </w:p>
    <w:p w14:paraId="6D59AD8B" w14:textId="77777777" w:rsidR="0030471E" w:rsidRPr="006847EA" w:rsidRDefault="0030471E" w:rsidP="005B24F2">
      <w:pPr>
        <w:pStyle w:val="Akapitzlist"/>
        <w:ind w:left="360"/>
        <w:jc w:val="center"/>
        <w:rPr>
          <w:color w:val="000000"/>
          <w:sz w:val="24"/>
        </w:rPr>
      </w:pPr>
      <w:r w:rsidRPr="006847EA">
        <w:rPr>
          <w:color w:val="000000"/>
          <w:sz w:val="24"/>
          <w:szCs w:val="24"/>
        </w:rPr>
        <w:lastRenderedPageBreak/>
        <w:t>§ 3</w:t>
      </w:r>
    </w:p>
    <w:p w14:paraId="2463B066" w14:textId="77777777" w:rsidR="0030471E" w:rsidRPr="00C873AE" w:rsidRDefault="0030471E" w:rsidP="00C873AE">
      <w:pPr>
        <w:pStyle w:val="Tekstpodstawowy"/>
        <w:numPr>
          <w:ilvl w:val="0"/>
          <w:numId w:val="24"/>
        </w:numPr>
        <w:spacing w:after="240" w:line="240" w:lineRule="auto"/>
        <w:ind w:left="357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Dla każdej organizowanej konferencji prowadzi się wyodrębnioną ewidencję księgową kosztów i przychodów. W związku z powyższym przed jej rozpoczęciem należy sporządzić plan kosztów i przychodów (budżet) -</w:t>
      </w:r>
      <w:r w:rsidR="005B24F2" w:rsidRPr="006847EA">
        <w:rPr>
          <w:rFonts w:ascii="Times New Roman" w:hAnsi="Times New Roman"/>
          <w:color w:val="000000"/>
        </w:rPr>
        <w:t xml:space="preserve"> </w:t>
      </w:r>
      <w:r w:rsidRPr="006847EA">
        <w:rPr>
          <w:rFonts w:ascii="Times New Roman" w:hAnsi="Times New Roman"/>
          <w:color w:val="000000"/>
        </w:rPr>
        <w:t xml:space="preserve">załącznik nr 1, który będzie stanowił podstawę otwarcia </w:t>
      </w:r>
      <w:r w:rsidR="00CF2F5E" w:rsidRPr="006847EA">
        <w:rPr>
          <w:rFonts w:ascii="Times New Roman" w:hAnsi="Times New Roman"/>
          <w:color w:val="000000"/>
        </w:rPr>
        <w:t>projektu</w:t>
      </w:r>
      <w:r w:rsidRPr="006847EA">
        <w:rPr>
          <w:rFonts w:ascii="Times New Roman" w:hAnsi="Times New Roman"/>
          <w:color w:val="000000"/>
        </w:rPr>
        <w:t>.</w:t>
      </w:r>
    </w:p>
    <w:p w14:paraId="1F72F91F" w14:textId="77777777" w:rsidR="0030471E" w:rsidRPr="00C873AE" w:rsidRDefault="0030471E" w:rsidP="00C873AE">
      <w:pPr>
        <w:pStyle w:val="Tekstpodstawowy"/>
        <w:numPr>
          <w:ilvl w:val="0"/>
          <w:numId w:val="24"/>
        </w:numPr>
        <w:tabs>
          <w:tab w:val="left" w:pos="284"/>
        </w:tabs>
        <w:spacing w:after="240" w:line="240" w:lineRule="auto"/>
        <w:ind w:left="357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 Plan kosztów i przychodów konferencji sporządza osoba odpowiedzialna za jej organizację, a zatwierdza Kierownik jednostki organizacyjnej. </w:t>
      </w:r>
    </w:p>
    <w:p w14:paraId="18CBD95B" w14:textId="77777777" w:rsidR="0030471E" w:rsidRPr="00C873AE" w:rsidRDefault="0030471E" w:rsidP="00C873AE">
      <w:pPr>
        <w:pStyle w:val="Tekstpodstawowy"/>
        <w:numPr>
          <w:ilvl w:val="0"/>
          <w:numId w:val="24"/>
        </w:numPr>
        <w:tabs>
          <w:tab w:val="left" w:pos="284"/>
        </w:tabs>
        <w:spacing w:after="240" w:line="240" w:lineRule="auto"/>
        <w:ind w:left="357" w:hanging="357"/>
        <w:rPr>
          <w:rFonts w:ascii="Times New Roman" w:hAnsi="Times New Roman"/>
          <w:strike/>
          <w:color w:val="000000"/>
        </w:rPr>
      </w:pPr>
      <w:r w:rsidRPr="006847EA">
        <w:rPr>
          <w:rFonts w:ascii="Times New Roman" w:hAnsi="Times New Roman"/>
          <w:color w:val="000000"/>
        </w:rPr>
        <w:t>W budżecie konferencji należy uwzględnić wszystkie przychody według źródeł, koszty niezbędne do poniesienia d</w:t>
      </w:r>
      <w:r w:rsidR="005B24F2" w:rsidRPr="006847EA">
        <w:rPr>
          <w:rFonts w:ascii="Times New Roman" w:hAnsi="Times New Roman"/>
          <w:color w:val="000000"/>
        </w:rPr>
        <w:t>la osiągniecia celu konferencji</w:t>
      </w:r>
      <w:r w:rsidRPr="006847EA">
        <w:rPr>
          <w:rFonts w:ascii="Times New Roman" w:hAnsi="Times New Roman"/>
          <w:color w:val="000000"/>
        </w:rPr>
        <w:t xml:space="preserve">, </w:t>
      </w:r>
      <w:r w:rsidR="00EB15D0" w:rsidRPr="006847EA">
        <w:rPr>
          <w:rFonts w:ascii="Times New Roman" w:hAnsi="Times New Roman"/>
          <w:color w:val="000000"/>
        </w:rPr>
        <w:t xml:space="preserve">w tym również narzut kosztów </w:t>
      </w:r>
      <w:r w:rsidR="00D60144" w:rsidRPr="006847EA">
        <w:rPr>
          <w:rFonts w:ascii="Times New Roman" w:hAnsi="Times New Roman"/>
          <w:color w:val="000000"/>
        </w:rPr>
        <w:t xml:space="preserve">pośrednich </w:t>
      </w:r>
      <w:r w:rsidR="00EB15D0" w:rsidRPr="006847EA">
        <w:rPr>
          <w:rFonts w:ascii="Times New Roman" w:hAnsi="Times New Roman"/>
          <w:color w:val="000000"/>
        </w:rPr>
        <w:t>w wysokości zgodnej z obowiązującymi w tym zakresie zarządzeniami wewnętrznymi.</w:t>
      </w:r>
    </w:p>
    <w:p w14:paraId="5F5E2949" w14:textId="77777777" w:rsidR="0030471E" w:rsidRPr="00C873AE" w:rsidRDefault="0030471E" w:rsidP="00C873AE">
      <w:pPr>
        <w:pStyle w:val="Tekstpodstawowy"/>
        <w:numPr>
          <w:ilvl w:val="0"/>
          <w:numId w:val="24"/>
        </w:numPr>
        <w:spacing w:after="240" w:line="240" w:lineRule="auto"/>
        <w:ind w:left="357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W celu otwarcia </w:t>
      </w:r>
      <w:r w:rsidR="00CF2F5E" w:rsidRPr="006847EA">
        <w:rPr>
          <w:rFonts w:ascii="Times New Roman" w:hAnsi="Times New Roman"/>
          <w:color w:val="000000"/>
        </w:rPr>
        <w:t>projektu</w:t>
      </w:r>
      <w:r w:rsidRPr="006847EA">
        <w:rPr>
          <w:rFonts w:ascii="Times New Roman" w:hAnsi="Times New Roman"/>
          <w:color w:val="000000"/>
        </w:rPr>
        <w:t xml:space="preserve"> sporządzony i zatwierdzony preliminarz (budżet) konferencji należy dostarczyć do </w:t>
      </w:r>
      <w:r w:rsidR="007A41E3" w:rsidRPr="006847EA">
        <w:rPr>
          <w:rFonts w:ascii="Times New Roman" w:hAnsi="Times New Roman"/>
          <w:color w:val="000000"/>
        </w:rPr>
        <w:t xml:space="preserve">Działu Projektów </w:t>
      </w:r>
      <w:r w:rsidRPr="006847EA">
        <w:rPr>
          <w:rFonts w:ascii="Times New Roman" w:hAnsi="Times New Roman"/>
          <w:color w:val="000000"/>
        </w:rPr>
        <w:t xml:space="preserve">w terminie nie później niż 1 miesiąc przed planowanym rozpoczęciem konferencji. </w:t>
      </w:r>
    </w:p>
    <w:p w14:paraId="3A62BC52" w14:textId="77777777" w:rsidR="000815B9" w:rsidRPr="00C873AE" w:rsidRDefault="00B00E3F" w:rsidP="00C873AE">
      <w:pPr>
        <w:numPr>
          <w:ilvl w:val="0"/>
          <w:numId w:val="24"/>
        </w:numPr>
        <w:spacing w:after="240"/>
        <w:ind w:left="357" w:hanging="357"/>
        <w:jc w:val="both"/>
        <w:rPr>
          <w:color w:val="000000"/>
        </w:rPr>
      </w:pPr>
      <w:r w:rsidRPr="006847EA">
        <w:rPr>
          <w:color w:val="000000"/>
        </w:rPr>
        <w:t xml:space="preserve">Środki finansowe konferencji powinny być wykorzystane zgodnie z preliminarzem (budżetem), a ewentualne zmiany mogą być dokonane za zgodą Kierownika jednostki </w:t>
      </w:r>
      <w:r w:rsidRPr="006847EA">
        <w:rPr>
          <w:color w:val="000000"/>
        </w:rPr>
        <w:br/>
        <w:t>i wymagają sporządzenia jego przekwalifikowania (załącznik nr 1). Przekwalifikowanie należy niezwłocznie dostarczyć do Działu</w:t>
      </w:r>
      <w:r w:rsidR="00D60144" w:rsidRPr="006847EA">
        <w:rPr>
          <w:color w:val="000000"/>
        </w:rPr>
        <w:t xml:space="preserve"> Projektów</w:t>
      </w:r>
      <w:r w:rsidRPr="006847EA">
        <w:rPr>
          <w:color w:val="000000"/>
        </w:rPr>
        <w:t xml:space="preserve"> celem zatwierdzenia zmian </w:t>
      </w:r>
      <w:r w:rsidR="00F23532">
        <w:rPr>
          <w:color w:val="000000"/>
        </w:rPr>
        <w:br/>
      </w:r>
      <w:r w:rsidRPr="006847EA">
        <w:rPr>
          <w:color w:val="000000"/>
        </w:rPr>
        <w:t>w budżecie konferencji w systemie informatycznym.</w:t>
      </w:r>
    </w:p>
    <w:p w14:paraId="78DF77B8" w14:textId="79455842" w:rsidR="0030471E" w:rsidRPr="00C873AE" w:rsidRDefault="0030471E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</w:rPr>
      </w:pPr>
      <w:r w:rsidRPr="006847EA">
        <w:rPr>
          <w:color w:val="000000"/>
          <w:sz w:val="24"/>
          <w:szCs w:val="24"/>
        </w:rPr>
        <w:t xml:space="preserve">Podstawą do rozliczenia udziału pracowników Uczelni w konferencjach organizowanych przez jednostki organizacyjne </w:t>
      </w:r>
      <w:r w:rsidR="0007347E">
        <w:rPr>
          <w:color w:val="000000"/>
          <w:sz w:val="24"/>
          <w:szCs w:val="24"/>
        </w:rPr>
        <w:t>Uczelni</w:t>
      </w:r>
      <w:r w:rsidR="0007347E" w:rsidRPr="006847EA">
        <w:rPr>
          <w:color w:val="000000"/>
          <w:sz w:val="24"/>
          <w:szCs w:val="24"/>
        </w:rPr>
        <w:t xml:space="preserve"> </w:t>
      </w:r>
      <w:r w:rsidRPr="006847EA">
        <w:rPr>
          <w:color w:val="000000"/>
          <w:sz w:val="24"/>
          <w:szCs w:val="24"/>
        </w:rPr>
        <w:t>jest wewnętrzna nota obciążeniowa</w:t>
      </w:r>
      <w:r w:rsidR="00EE45EA" w:rsidRPr="006847EA">
        <w:rPr>
          <w:color w:val="000000"/>
          <w:sz w:val="24"/>
          <w:szCs w:val="24"/>
        </w:rPr>
        <w:t xml:space="preserve"> wystawiona po wykonaniu usługi</w:t>
      </w:r>
      <w:r w:rsidRPr="006847EA">
        <w:rPr>
          <w:color w:val="000000"/>
          <w:sz w:val="24"/>
          <w:szCs w:val="24"/>
        </w:rPr>
        <w:t>. Obowiązek sporządzenia wewnętrznej noty obciążeniowej spoczywa na jednostce organizującej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>. Nota po wskazaniu źródła finansowania przez jednostkę organizacyjną delegującą pracownika, będzie podstawą dokonania odpowiednich zapisów księgowych przez Kwesturę Uczelni.</w:t>
      </w:r>
    </w:p>
    <w:p w14:paraId="3000B732" w14:textId="77777777" w:rsidR="00F75443" w:rsidRPr="00C873AE" w:rsidRDefault="008F1C76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32"/>
          <w:szCs w:val="24"/>
        </w:rPr>
      </w:pPr>
      <w:r>
        <w:rPr>
          <w:color w:val="000000"/>
          <w:sz w:val="24"/>
        </w:rPr>
        <w:t xml:space="preserve"> Ze środków zarezerwowanych w budżecie konferencji mogą być wypłacone: wynagrodzenia na podstawie zawartych umów zlecenia i umów o dzieło z osobami spoza Uczelni, a dla pracowników </w:t>
      </w:r>
      <w:r w:rsidR="0007347E">
        <w:rPr>
          <w:color w:val="000000"/>
          <w:sz w:val="24"/>
        </w:rPr>
        <w:t xml:space="preserve">Uczelni </w:t>
      </w:r>
      <w:r>
        <w:rPr>
          <w:color w:val="000000"/>
          <w:sz w:val="24"/>
        </w:rPr>
        <w:t>dodatki kwotowe jednorazowe zgodnie z obowiązującym Regulaminem Wynagradzania Politechniki Wrocławskiej. Nie mogą być natomiast</w:t>
      </w:r>
      <w:r w:rsidR="00FF1B69">
        <w:rPr>
          <w:color w:val="000000"/>
          <w:sz w:val="24"/>
        </w:rPr>
        <w:t xml:space="preserve"> wypłacane wynagrodzenia za opracowanie i wygłoszenie referatu</w:t>
      </w:r>
      <w:r w:rsidR="006E01E5">
        <w:rPr>
          <w:color w:val="000000"/>
          <w:sz w:val="24"/>
        </w:rPr>
        <w:t>, z wyjątkiem referatów zamawianych.</w:t>
      </w:r>
      <w:r w:rsidR="00F75443">
        <w:rPr>
          <w:color w:val="000000"/>
          <w:sz w:val="24"/>
        </w:rPr>
        <w:t xml:space="preserve"> </w:t>
      </w:r>
    </w:p>
    <w:p w14:paraId="2680BBA1" w14:textId="6805D548" w:rsidR="0030471E" w:rsidRPr="00C873AE" w:rsidRDefault="0030471E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 w:rsidRPr="006847EA">
        <w:rPr>
          <w:color w:val="000000"/>
          <w:sz w:val="24"/>
          <w:szCs w:val="24"/>
        </w:rPr>
        <w:t>Ze środków przeznaczonych na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 xml:space="preserve"> nie mogą być dokonywane zakupy środków trwałych. Nie dotyczy </w:t>
      </w:r>
      <w:r w:rsidR="005E1B7B" w:rsidRPr="006847EA">
        <w:rPr>
          <w:color w:val="000000"/>
          <w:sz w:val="24"/>
          <w:szCs w:val="24"/>
        </w:rPr>
        <w:t xml:space="preserve">to </w:t>
      </w:r>
      <w:r w:rsidRPr="006847EA">
        <w:rPr>
          <w:color w:val="000000"/>
          <w:sz w:val="24"/>
          <w:szCs w:val="24"/>
        </w:rPr>
        <w:t>wyposażenia związanego bezpośrednio z techniczną obsługą konferencji</w:t>
      </w:r>
      <w:r w:rsidR="00D12EFC" w:rsidRPr="006847EA">
        <w:rPr>
          <w:color w:val="000000"/>
          <w:sz w:val="24"/>
          <w:szCs w:val="24"/>
        </w:rPr>
        <w:t xml:space="preserve"> - </w:t>
      </w:r>
      <w:r w:rsidRPr="006847EA">
        <w:rPr>
          <w:color w:val="000000"/>
          <w:sz w:val="24"/>
          <w:szCs w:val="24"/>
        </w:rPr>
        <w:t>banery, tablice, stelaże wystawiennicze</w:t>
      </w:r>
      <w:r w:rsidR="00EE35DD" w:rsidRPr="006847EA">
        <w:rPr>
          <w:color w:val="000000"/>
          <w:sz w:val="24"/>
          <w:szCs w:val="24"/>
        </w:rPr>
        <w:t xml:space="preserve"> </w:t>
      </w:r>
      <w:r w:rsidRPr="006847EA">
        <w:rPr>
          <w:color w:val="000000"/>
          <w:sz w:val="24"/>
          <w:szCs w:val="24"/>
        </w:rPr>
        <w:t>- jeżeli nie są na wyposażeniu jednostki organizacyjnej realizującej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>.</w:t>
      </w:r>
      <w:r w:rsidR="00A40F96" w:rsidRPr="006847EA">
        <w:rPr>
          <w:color w:val="000000"/>
          <w:sz w:val="24"/>
          <w:szCs w:val="24"/>
        </w:rPr>
        <w:t xml:space="preserve"> </w:t>
      </w:r>
    </w:p>
    <w:p w14:paraId="33AAC763" w14:textId="42D428A9" w:rsidR="00A40F96" w:rsidRPr="00C873AE" w:rsidRDefault="0030471E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 w:rsidRPr="006847EA">
        <w:rPr>
          <w:color w:val="000000"/>
          <w:sz w:val="24"/>
          <w:szCs w:val="24"/>
        </w:rPr>
        <w:t>Wydatkowanie środków przeznaczonych na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 xml:space="preserve"> podlega przepisom Ustawy </w:t>
      </w:r>
      <w:r w:rsidR="00105D5E" w:rsidRPr="006847EA">
        <w:rPr>
          <w:color w:val="000000"/>
          <w:sz w:val="24"/>
          <w:szCs w:val="24"/>
        </w:rPr>
        <w:br/>
      </w:r>
      <w:r w:rsidRPr="006847EA">
        <w:rPr>
          <w:color w:val="000000"/>
          <w:sz w:val="24"/>
          <w:szCs w:val="24"/>
        </w:rPr>
        <w:t>o finansach publicznych i Prawa zamówień publicznych.</w:t>
      </w:r>
    </w:p>
    <w:p w14:paraId="39AFE7C6" w14:textId="77777777" w:rsidR="0059416B" w:rsidRPr="00C873AE" w:rsidRDefault="00D75AE5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 w:rsidRPr="006847EA">
        <w:rPr>
          <w:color w:val="000000"/>
          <w:sz w:val="24"/>
        </w:rPr>
        <w:t xml:space="preserve">Opłatę za uczestnictwo w konferencji jej uczestnicy (lub inne podmioty dokonujące płatności w imieniu uczestnika) mogą wnosić w formie tradycyjnego przelewu bankowego (przelewem bezpośrednio na wskazany przez organizatora rachunek bankowy Politechniki Wrocławskiej) lub w formie płatności internetowych realizowanych za pomocą udostępnionych w tym celu na stronie internetowej konferencji narzędzi (tj. przelewem elektronicznym lub z wykorzystaniem karty płatniczej). Organizator umieszcza w odpowiednim wniosku/zgłoszeniu uczestnictwa te dane, których podawania w tytule </w:t>
      </w:r>
      <w:r w:rsidRPr="006847EA">
        <w:rPr>
          <w:color w:val="000000"/>
          <w:sz w:val="24"/>
        </w:rPr>
        <w:lastRenderedPageBreak/>
        <w:t>przelewu wymaga od wpłacającego, który wybierze formę tradycyjnego przelewu  (tj.: numer zlecenia konferencyjnego lub/i nazwę konferencji). Wybranie płatności internetowych udostępnianych na stronie konferencji spowoduje, że tytuł przelewu w</w:t>
      </w:r>
      <w:r w:rsidR="001152C7" w:rsidRPr="006847EA">
        <w:rPr>
          <w:color w:val="000000"/>
          <w:sz w:val="24"/>
        </w:rPr>
        <w:t>ypełniany będzie automatycznie.</w:t>
      </w:r>
    </w:p>
    <w:p w14:paraId="2C5B635C" w14:textId="77777777" w:rsidR="0030471E" w:rsidRPr="006847EA" w:rsidRDefault="0030471E" w:rsidP="002328D7">
      <w:pPr>
        <w:pStyle w:val="Tekstpodstawowy"/>
        <w:spacing w:line="240" w:lineRule="auto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4</w:t>
      </w:r>
    </w:p>
    <w:p w14:paraId="48FF7E63" w14:textId="77777777" w:rsidR="0030471E" w:rsidRPr="00C873AE" w:rsidRDefault="0030471E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W przypadku dofinan</w:t>
      </w:r>
      <w:r w:rsidR="005E1B7B" w:rsidRPr="006847EA">
        <w:rPr>
          <w:rFonts w:ascii="Times New Roman" w:hAnsi="Times New Roman"/>
          <w:color w:val="000000"/>
        </w:rPr>
        <w:t>sowania konferencji przez inne i</w:t>
      </w:r>
      <w:r w:rsidRPr="006847EA">
        <w:rPr>
          <w:rFonts w:ascii="Times New Roman" w:hAnsi="Times New Roman"/>
          <w:color w:val="000000"/>
        </w:rPr>
        <w:t xml:space="preserve">nstytucje, jej rozliczenia należy dokonać, zgodnie z zapisami umów/decyzji/porozumień zawartych z tymi instytucjami. </w:t>
      </w:r>
    </w:p>
    <w:p w14:paraId="0CA07E20" w14:textId="77777777" w:rsidR="0030471E" w:rsidRPr="00C873AE" w:rsidRDefault="00A40F96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Zamknięcia </w:t>
      </w:r>
      <w:r w:rsidR="0030471E" w:rsidRPr="006847EA">
        <w:rPr>
          <w:rFonts w:ascii="Times New Roman" w:hAnsi="Times New Roman"/>
          <w:color w:val="000000"/>
        </w:rPr>
        <w:t>konferencj</w:t>
      </w:r>
      <w:r w:rsidR="005D0B41" w:rsidRPr="006847EA">
        <w:rPr>
          <w:rFonts w:ascii="Times New Roman" w:hAnsi="Times New Roman"/>
          <w:color w:val="000000"/>
        </w:rPr>
        <w:t>i należy dokonać w terminie nie</w:t>
      </w:r>
      <w:r w:rsidR="0030471E" w:rsidRPr="006847EA">
        <w:rPr>
          <w:rFonts w:ascii="Times New Roman" w:hAnsi="Times New Roman"/>
          <w:color w:val="000000"/>
        </w:rPr>
        <w:t xml:space="preserve">przekraczającym 2 miesięcy od daty jej zakończenia, jednak nie później, niż do końca roku kalendarzowego, w którym odbyła się konferencja. </w:t>
      </w:r>
    </w:p>
    <w:p w14:paraId="04134328" w14:textId="6028BEBF" w:rsidR="0030471E" w:rsidRPr="00C873AE" w:rsidRDefault="00A40F96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W </w:t>
      </w:r>
      <w:r w:rsidR="0030471E" w:rsidRPr="006847EA">
        <w:rPr>
          <w:rFonts w:ascii="Times New Roman" w:hAnsi="Times New Roman"/>
          <w:color w:val="000000"/>
        </w:rPr>
        <w:t xml:space="preserve">szczególnych przypadkach </w:t>
      </w:r>
      <w:r w:rsidR="00BA2BD6" w:rsidRPr="006847EA">
        <w:rPr>
          <w:rFonts w:ascii="Times New Roman" w:hAnsi="Times New Roman"/>
          <w:color w:val="000000"/>
        </w:rPr>
        <w:t xml:space="preserve">Prorektor ds. Współpracy </w:t>
      </w:r>
      <w:r w:rsidR="0030471E" w:rsidRPr="006847EA">
        <w:rPr>
          <w:rFonts w:ascii="Times New Roman" w:hAnsi="Times New Roman"/>
          <w:color w:val="000000"/>
        </w:rPr>
        <w:t>na podstawie złożoneg</w:t>
      </w:r>
      <w:r w:rsidRPr="006847EA">
        <w:rPr>
          <w:rFonts w:ascii="Times New Roman" w:hAnsi="Times New Roman"/>
          <w:color w:val="000000"/>
        </w:rPr>
        <w:t xml:space="preserve">o przez jednostkę uzasadnienia </w:t>
      </w:r>
      <w:r w:rsidR="0030471E" w:rsidRPr="006847EA">
        <w:rPr>
          <w:rFonts w:ascii="Times New Roman" w:hAnsi="Times New Roman"/>
          <w:color w:val="000000"/>
        </w:rPr>
        <w:t>może wyrazić zgodę na przesunięcie terminu rozliczenia konferencji.</w:t>
      </w:r>
      <w:r w:rsidR="0030471E" w:rsidRPr="006847EA">
        <w:rPr>
          <w:color w:val="000000"/>
        </w:rPr>
        <w:t xml:space="preserve"> </w:t>
      </w:r>
    </w:p>
    <w:p w14:paraId="72040B7A" w14:textId="77777777" w:rsidR="0030471E" w:rsidRPr="00C873AE" w:rsidRDefault="0030471E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W celu zamknięcia </w:t>
      </w:r>
      <w:r w:rsidR="00CF2F5E" w:rsidRPr="006847EA">
        <w:rPr>
          <w:rFonts w:ascii="Times New Roman" w:hAnsi="Times New Roman"/>
          <w:color w:val="000000"/>
        </w:rPr>
        <w:t>projektu</w:t>
      </w:r>
      <w:r w:rsidRPr="006847EA">
        <w:rPr>
          <w:rFonts w:ascii="Times New Roman" w:hAnsi="Times New Roman"/>
          <w:color w:val="000000"/>
        </w:rPr>
        <w:t xml:space="preserve"> i dokonania całkowitego jego rozliczenia należy dostarczyć do </w:t>
      </w:r>
      <w:r w:rsidR="000231B8" w:rsidRPr="006847EA">
        <w:rPr>
          <w:rFonts w:ascii="Times New Roman" w:hAnsi="Times New Roman"/>
          <w:color w:val="000000"/>
        </w:rPr>
        <w:t xml:space="preserve">Działu Projektów </w:t>
      </w:r>
      <w:r w:rsidRPr="006847EA">
        <w:rPr>
          <w:rFonts w:ascii="Times New Roman" w:hAnsi="Times New Roman"/>
          <w:color w:val="000000"/>
        </w:rPr>
        <w:t>w</w:t>
      </w:r>
      <w:r w:rsidRPr="006847EA">
        <w:rPr>
          <w:rFonts w:ascii="Times New Roman" w:hAnsi="Times New Roman"/>
          <w:b/>
          <w:color w:val="000000"/>
        </w:rPr>
        <w:t xml:space="preserve"> </w:t>
      </w:r>
      <w:r w:rsidR="0043634A" w:rsidRPr="006847EA">
        <w:rPr>
          <w:rFonts w:ascii="Times New Roman" w:hAnsi="Times New Roman"/>
          <w:color w:val="000000"/>
        </w:rPr>
        <w:t>terminie zgodnym z §</w:t>
      </w:r>
      <w:r w:rsidR="005D0B41" w:rsidRPr="006847EA">
        <w:rPr>
          <w:rFonts w:ascii="Times New Roman" w:hAnsi="Times New Roman"/>
          <w:color w:val="000000"/>
        </w:rPr>
        <w:t xml:space="preserve"> </w:t>
      </w:r>
      <w:r w:rsidR="0043634A" w:rsidRPr="006847EA">
        <w:rPr>
          <w:rFonts w:ascii="Times New Roman" w:hAnsi="Times New Roman"/>
          <w:color w:val="000000"/>
        </w:rPr>
        <w:t>4 ust.</w:t>
      </w:r>
      <w:r w:rsidRPr="006847EA">
        <w:rPr>
          <w:rFonts w:ascii="Times New Roman" w:hAnsi="Times New Roman"/>
          <w:color w:val="000000"/>
        </w:rPr>
        <w:t xml:space="preserve"> 2 </w:t>
      </w:r>
      <w:r w:rsidR="00A40F96" w:rsidRPr="006847EA">
        <w:rPr>
          <w:rFonts w:ascii="Times New Roman" w:hAnsi="Times New Roman"/>
          <w:color w:val="000000"/>
        </w:rPr>
        <w:t xml:space="preserve">- </w:t>
      </w:r>
      <w:r w:rsidR="0043634A" w:rsidRPr="006847EA">
        <w:rPr>
          <w:rFonts w:ascii="Times New Roman" w:hAnsi="Times New Roman"/>
          <w:color w:val="000000"/>
        </w:rPr>
        <w:t>i</w:t>
      </w:r>
      <w:r w:rsidRPr="006847EA">
        <w:rPr>
          <w:rFonts w:ascii="Times New Roman" w:hAnsi="Times New Roman"/>
          <w:color w:val="000000"/>
        </w:rPr>
        <w:t>nformację o zakończeni</w:t>
      </w:r>
      <w:r w:rsidR="00056D08" w:rsidRPr="006847EA">
        <w:rPr>
          <w:rFonts w:ascii="Times New Roman" w:hAnsi="Times New Roman"/>
          <w:color w:val="000000"/>
        </w:rPr>
        <w:t>u konferencji (załącznik nr 2).</w:t>
      </w:r>
    </w:p>
    <w:p w14:paraId="20393F22" w14:textId="77777777" w:rsidR="0030471E" w:rsidRPr="00C873AE" w:rsidRDefault="0030471E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Po zakończeniu i rozliczeniu roku finansowego powstała nadwyżka/niedobór przychodów nad kosztami konferencji w całości zwiększa lub zmniejsza wynik finansowy jednostki organizacyjnej</w:t>
      </w:r>
      <w:r w:rsidR="0007347E">
        <w:rPr>
          <w:rFonts w:ascii="Times New Roman" w:hAnsi="Times New Roman"/>
          <w:color w:val="000000"/>
        </w:rPr>
        <w:t xml:space="preserve"> organizującej konferencje</w:t>
      </w:r>
      <w:r w:rsidRPr="006847EA">
        <w:rPr>
          <w:rFonts w:ascii="Times New Roman" w:hAnsi="Times New Roman"/>
          <w:color w:val="000000"/>
        </w:rPr>
        <w:t>.</w:t>
      </w:r>
    </w:p>
    <w:p w14:paraId="4F37BFE9" w14:textId="77777777" w:rsidR="0030471E" w:rsidRPr="006847EA" w:rsidRDefault="0030471E" w:rsidP="002328D7">
      <w:pPr>
        <w:pStyle w:val="Tekstpodstawowy"/>
        <w:spacing w:line="240" w:lineRule="auto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5</w:t>
      </w:r>
    </w:p>
    <w:p w14:paraId="28CA2F34" w14:textId="162AA00C" w:rsidR="0030471E" w:rsidRPr="006847EA" w:rsidRDefault="00D12EFC" w:rsidP="00242E85">
      <w:pPr>
        <w:pStyle w:val="Tekstpodstawowy"/>
        <w:spacing w:after="240"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T</w:t>
      </w:r>
      <w:r w:rsidR="00A40F96" w:rsidRPr="006847EA">
        <w:rPr>
          <w:rFonts w:ascii="Times New Roman" w:hAnsi="Times New Roman"/>
          <w:color w:val="000000"/>
        </w:rPr>
        <w:t>rac</w:t>
      </w:r>
      <w:r w:rsidR="0007347E">
        <w:rPr>
          <w:rFonts w:ascii="Times New Roman" w:hAnsi="Times New Roman"/>
          <w:color w:val="000000"/>
        </w:rPr>
        <w:t>i</w:t>
      </w:r>
      <w:r w:rsidR="0030471E" w:rsidRPr="006847EA">
        <w:rPr>
          <w:rFonts w:ascii="Times New Roman" w:hAnsi="Times New Roman"/>
          <w:color w:val="000000"/>
        </w:rPr>
        <w:t xml:space="preserve"> moc</w:t>
      </w:r>
      <w:r w:rsidR="00C873AE">
        <w:rPr>
          <w:rFonts w:ascii="Times New Roman" w:hAnsi="Times New Roman"/>
          <w:color w:val="000000"/>
        </w:rPr>
        <w:t xml:space="preserve"> </w:t>
      </w:r>
      <w:r w:rsidR="00A40F96" w:rsidRPr="006847EA">
        <w:rPr>
          <w:rFonts w:ascii="Times New Roman" w:hAnsi="Times New Roman"/>
          <w:color w:val="000000"/>
        </w:rPr>
        <w:t xml:space="preserve">Zarządzenie Wewnętrzne </w:t>
      </w:r>
      <w:r w:rsidR="00BA2BD6" w:rsidRPr="006847EA">
        <w:rPr>
          <w:rFonts w:ascii="Times New Roman" w:hAnsi="Times New Roman"/>
          <w:color w:val="000000"/>
        </w:rPr>
        <w:t xml:space="preserve">108/2017 </w:t>
      </w:r>
      <w:r w:rsidR="00A40F96" w:rsidRPr="006847EA">
        <w:rPr>
          <w:rFonts w:ascii="Times New Roman" w:hAnsi="Times New Roman"/>
          <w:color w:val="000000"/>
        </w:rPr>
        <w:t xml:space="preserve">z dnia </w:t>
      </w:r>
      <w:r w:rsidR="00BA2BD6" w:rsidRPr="006847EA">
        <w:rPr>
          <w:rFonts w:ascii="Times New Roman" w:hAnsi="Times New Roman"/>
          <w:color w:val="000000"/>
        </w:rPr>
        <w:t xml:space="preserve">4 października 2017 roku </w:t>
      </w:r>
      <w:r w:rsidR="0030471E" w:rsidRPr="006847EA">
        <w:rPr>
          <w:rFonts w:ascii="Times New Roman" w:hAnsi="Times New Roman"/>
          <w:color w:val="000000"/>
        </w:rPr>
        <w:t xml:space="preserve">w sprawie </w:t>
      </w:r>
      <w:r w:rsidR="00A40F96" w:rsidRPr="006847EA">
        <w:rPr>
          <w:rFonts w:ascii="Times New Roman" w:hAnsi="Times New Roman"/>
          <w:color w:val="000000"/>
        </w:rPr>
        <w:t xml:space="preserve">zasad finansowania, </w:t>
      </w:r>
      <w:r w:rsidR="0030471E" w:rsidRPr="006847EA">
        <w:rPr>
          <w:rFonts w:ascii="Times New Roman" w:hAnsi="Times New Roman"/>
          <w:color w:val="000000"/>
        </w:rPr>
        <w:t xml:space="preserve">rozliczania </w:t>
      </w:r>
      <w:r w:rsidR="00A40F96" w:rsidRPr="006847EA">
        <w:rPr>
          <w:rFonts w:ascii="Times New Roman" w:hAnsi="Times New Roman"/>
          <w:color w:val="000000"/>
        </w:rPr>
        <w:t xml:space="preserve">i organizowania </w:t>
      </w:r>
      <w:r w:rsidR="0030471E" w:rsidRPr="006847EA">
        <w:rPr>
          <w:rFonts w:ascii="Times New Roman" w:hAnsi="Times New Roman"/>
          <w:color w:val="000000"/>
        </w:rPr>
        <w:t>konferencji naukowych oraz innyc</w:t>
      </w:r>
      <w:r w:rsidR="00C873AE">
        <w:rPr>
          <w:rFonts w:ascii="Times New Roman" w:hAnsi="Times New Roman"/>
          <w:color w:val="000000"/>
        </w:rPr>
        <w:t>h imprez o charakterze naukowym.</w:t>
      </w:r>
    </w:p>
    <w:p w14:paraId="6F81A465" w14:textId="77777777" w:rsidR="0030471E" w:rsidRPr="006847EA" w:rsidRDefault="002328D7" w:rsidP="002328D7">
      <w:pPr>
        <w:pStyle w:val="Tekstpodstawowy"/>
        <w:spacing w:line="240" w:lineRule="auto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6</w:t>
      </w:r>
    </w:p>
    <w:p w14:paraId="5B8CB3F8" w14:textId="77777777" w:rsidR="0059416B" w:rsidRPr="006847EA" w:rsidRDefault="0030471E" w:rsidP="00C873AE">
      <w:pPr>
        <w:tabs>
          <w:tab w:val="left" w:pos="284"/>
        </w:tabs>
        <w:spacing w:after="1560"/>
        <w:ind w:left="425" w:hanging="425"/>
        <w:jc w:val="both"/>
        <w:rPr>
          <w:color w:val="000000"/>
        </w:rPr>
      </w:pPr>
      <w:r w:rsidRPr="006847EA">
        <w:rPr>
          <w:color w:val="000000"/>
        </w:rPr>
        <w:t xml:space="preserve">Zarządzenie wchodzi w życie z dniem </w:t>
      </w:r>
      <w:r w:rsidR="00057000">
        <w:rPr>
          <w:color w:val="000000"/>
        </w:rPr>
        <w:t>ogłoszenia.</w:t>
      </w:r>
    </w:p>
    <w:p w14:paraId="3FE125E8" w14:textId="77777777" w:rsidR="00492D1D" w:rsidRPr="006847EA" w:rsidRDefault="00EA3E30" w:rsidP="00A40F96">
      <w:pPr>
        <w:ind w:left="4956" w:firstLine="708"/>
        <w:rPr>
          <w:color w:val="000000"/>
        </w:rPr>
      </w:pPr>
      <w:r w:rsidRPr="006847EA">
        <w:rPr>
          <w:color w:val="000000"/>
        </w:rPr>
        <w:t>Prof.</w:t>
      </w:r>
      <w:r w:rsidR="00A40F96" w:rsidRPr="006847EA">
        <w:rPr>
          <w:color w:val="000000"/>
        </w:rPr>
        <w:t xml:space="preserve"> dr hab. inż. </w:t>
      </w:r>
      <w:r w:rsidR="00BA2BD6" w:rsidRPr="006847EA">
        <w:rPr>
          <w:color w:val="000000"/>
        </w:rPr>
        <w:t>Arkadiusz Wójs</w:t>
      </w:r>
    </w:p>
    <w:sectPr w:rsidR="00492D1D" w:rsidRPr="006847EA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5530" w14:textId="77777777" w:rsidR="008A2A10" w:rsidRDefault="008A2A10">
      <w:r>
        <w:separator/>
      </w:r>
    </w:p>
  </w:endnote>
  <w:endnote w:type="continuationSeparator" w:id="0">
    <w:p w14:paraId="68DCDC83" w14:textId="77777777" w:rsidR="008A2A10" w:rsidRDefault="008A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4CFE" w14:textId="77777777" w:rsidR="00272C42" w:rsidRDefault="00272C4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A4D6" w14:textId="77777777" w:rsidR="00272C42" w:rsidRDefault="0027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D9D0" w14:textId="00C42DA4" w:rsidR="00272C42" w:rsidRPr="00B010B5" w:rsidRDefault="00272C4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3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3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7068" w14:textId="2227529D" w:rsidR="00272C42" w:rsidRPr="00B010B5" w:rsidRDefault="00272C4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3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1B1F" w14:textId="77777777" w:rsidR="008A2A10" w:rsidRDefault="008A2A10">
      <w:r>
        <w:separator/>
      </w:r>
    </w:p>
  </w:footnote>
  <w:footnote w:type="continuationSeparator" w:id="0">
    <w:p w14:paraId="1FE79939" w14:textId="77777777" w:rsidR="008A2A10" w:rsidRDefault="008A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64AA" w14:textId="77777777" w:rsidR="00272C42" w:rsidRDefault="004815FC" w:rsidP="000E572A">
    <w:pPr>
      <w:pStyle w:val="Nagwek"/>
      <w:jc w:val="center"/>
    </w:pPr>
    <w:r>
      <w:rPr>
        <w:noProof/>
      </w:rPr>
      <w:drawing>
        <wp:inline distT="0" distB="0" distL="0" distR="0" wp14:anchorId="1A3583C2" wp14:editId="120C6041">
          <wp:extent cx="72390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7311A"/>
    <w:multiLevelType w:val="hybridMultilevel"/>
    <w:tmpl w:val="1F06824E"/>
    <w:lvl w:ilvl="0" w:tplc="C9EE2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5CC31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41066B"/>
    <w:multiLevelType w:val="hybridMultilevel"/>
    <w:tmpl w:val="A296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88E"/>
    <w:multiLevelType w:val="hybridMultilevel"/>
    <w:tmpl w:val="1C9011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93FF0"/>
    <w:multiLevelType w:val="hybridMultilevel"/>
    <w:tmpl w:val="3F1C9B70"/>
    <w:lvl w:ilvl="0" w:tplc="625A9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EA84D16"/>
    <w:multiLevelType w:val="hybridMultilevel"/>
    <w:tmpl w:val="242ACFCA"/>
    <w:lvl w:ilvl="0" w:tplc="C3842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4AC2"/>
    <w:multiLevelType w:val="hybridMultilevel"/>
    <w:tmpl w:val="FF923600"/>
    <w:lvl w:ilvl="0" w:tplc="8BF6D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E42A8A"/>
    <w:multiLevelType w:val="hybridMultilevel"/>
    <w:tmpl w:val="23A24EB8"/>
    <w:lvl w:ilvl="0" w:tplc="34A8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0" w15:restartNumberingAfterBreak="0">
    <w:nsid w:val="25597D68"/>
    <w:multiLevelType w:val="multilevel"/>
    <w:tmpl w:val="888E2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A7E49"/>
    <w:multiLevelType w:val="hybridMultilevel"/>
    <w:tmpl w:val="2102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9C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917F6"/>
    <w:multiLevelType w:val="hybridMultilevel"/>
    <w:tmpl w:val="2D18794C"/>
    <w:lvl w:ilvl="0" w:tplc="D94AA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9056AA"/>
    <w:multiLevelType w:val="hybridMultilevel"/>
    <w:tmpl w:val="FEA6B1D8"/>
    <w:lvl w:ilvl="0" w:tplc="36BA0598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 w15:restartNumberingAfterBreak="0">
    <w:nsid w:val="40AB15B8"/>
    <w:multiLevelType w:val="hybridMultilevel"/>
    <w:tmpl w:val="C92E949C"/>
    <w:lvl w:ilvl="0" w:tplc="C3842F4C">
      <w:start w:val="1"/>
      <w:numFmt w:val="decimal"/>
      <w:lvlText w:val="%1)"/>
      <w:lvlJc w:val="left"/>
      <w:pPr>
        <w:ind w:left="77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49DC457D"/>
    <w:multiLevelType w:val="hybridMultilevel"/>
    <w:tmpl w:val="823261B2"/>
    <w:lvl w:ilvl="0" w:tplc="CB5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214E8"/>
    <w:multiLevelType w:val="hybridMultilevel"/>
    <w:tmpl w:val="4080C88A"/>
    <w:lvl w:ilvl="0" w:tplc="AC502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865DFA"/>
    <w:multiLevelType w:val="hybridMultilevel"/>
    <w:tmpl w:val="9BBC001E"/>
    <w:lvl w:ilvl="0" w:tplc="7BB6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4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91D9C"/>
    <w:multiLevelType w:val="hybridMultilevel"/>
    <w:tmpl w:val="5A7E00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DC84632"/>
    <w:multiLevelType w:val="hybridMultilevel"/>
    <w:tmpl w:val="B34E3336"/>
    <w:lvl w:ilvl="0" w:tplc="36BA0598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7E6C3E0D"/>
    <w:multiLevelType w:val="hybridMultilevel"/>
    <w:tmpl w:val="62C0EC8E"/>
    <w:lvl w:ilvl="0" w:tplc="A8148CA6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</w:num>
  <w:num w:numId="5">
    <w:abstractNumId w:val="5"/>
  </w:num>
  <w:num w:numId="6">
    <w:abstractNumId w:val="24"/>
  </w:num>
  <w:num w:numId="7">
    <w:abstractNumId w:val="23"/>
  </w:num>
  <w:num w:numId="8">
    <w:abstractNumId w:val="2"/>
  </w:num>
  <w:num w:numId="9">
    <w:abstractNumId w:val="17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20"/>
  </w:num>
  <w:num w:numId="15">
    <w:abstractNumId w:val="21"/>
  </w:num>
  <w:num w:numId="16">
    <w:abstractNumId w:val="18"/>
  </w:num>
  <w:num w:numId="17">
    <w:abstractNumId w:val="14"/>
  </w:num>
  <w:num w:numId="18">
    <w:abstractNumId w:val="26"/>
  </w:num>
  <w:num w:numId="19">
    <w:abstractNumId w:val="11"/>
  </w:num>
  <w:num w:numId="20">
    <w:abstractNumId w:val="25"/>
  </w:num>
  <w:num w:numId="21">
    <w:abstractNumId w:val="12"/>
  </w:num>
  <w:num w:numId="22">
    <w:abstractNumId w:val="27"/>
  </w:num>
  <w:num w:numId="23">
    <w:abstractNumId w:val="3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770D"/>
    <w:rsid w:val="000135B7"/>
    <w:rsid w:val="000203FC"/>
    <w:rsid w:val="00022D5C"/>
    <w:rsid w:val="000231B8"/>
    <w:rsid w:val="0002349C"/>
    <w:rsid w:val="0003506A"/>
    <w:rsid w:val="00054BC2"/>
    <w:rsid w:val="00056D08"/>
    <w:rsid w:val="00057000"/>
    <w:rsid w:val="000576DD"/>
    <w:rsid w:val="00067401"/>
    <w:rsid w:val="0007347E"/>
    <w:rsid w:val="000815B9"/>
    <w:rsid w:val="00091830"/>
    <w:rsid w:val="000A108C"/>
    <w:rsid w:val="000B5B96"/>
    <w:rsid w:val="000C2FCA"/>
    <w:rsid w:val="000C719D"/>
    <w:rsid w:val="000D265F"/>
    <w:rsid w:val="000D6557"/>
    <w:rsid w:val="000E572A"/>
    <w:rsid w:val="000F0AF4"/>
    <w:rsid w:val="000F756E"/>
    <w:rsid w:val="00103839"/>
    <w:rsid w:val="00105D5E"/>
    <w:rsid w:val="00106C7B"/>
    <w:rsid w:val="001152C7"/>
    <w:rsid w:val="0011750E"/>
    <w:rsid w:val="00144142"/>
    <w:rsid w:val="00145A72"/>
    <w:rsid w:val="001664F0"/>
    <w:rsid w:val="0017480A"/>
    <w:rsid w:val="00185135"/>
    <w:rsid w:val="001936F4"/>
    <w:rsid w:val="001A0DED"/>
    <w:rsid w:val="001B311C"/>
    <w:rsid w:val="001B3E8D"/>
    <w:rsid w:val="001B5C97"/>
    <w:rsid w:val="001C2CBF"/>
    <w:rsid w:val="001D3C4B"/>
    <w:rsid w:val="001D5DBA"/>
    <w:rsid w:val="001F38F4"/>
    <w:rsid w:val="001F7FEE"/>
    <w:rsid w:val="00205C47"/>
    <w:rsid w:val="002113EA"/>
    <w:rsid w:val="00213BA0"/>
    <w:rsid w:val="00222832"/>
    <w:rsid w:val="002305A7"/>
    <w:rsid w:val="002328D7"/>
    <w:rsid w:val="00242E85"/>
    <w:rsid w:val="00245283"/>
    <w:rsid w:val="00251DB4"/>
    <w:rsid w:val="00256B33"/>
    <w:rsid w:val="00272C42"/>
    <w:rsid w:val="0027343D"/>
    <w:rsid w:val="0028043E"/>
    <w:rsid w:val="00281E4B"/>
    <w:rsid w:val="0028347B"/>
    <w:rsid w:val="00284E9F"/>
    <w:rsid w:val="00295491"/>
    <w:rsid w:val="002A1EB2"/>
    <w:rsid w:val="002B2D30"/>
    <w:rsid w:val="002B493F"/>
    <w:rsid w:val="002C1B09"/>
    <w:rsid w:val="002D7D39"/>
    <w:rsid w:val="002F5283"/>
    <w:rsid w:val="0030471E"/>
    <w:rsid w:val="00304CCE"/>
    <w:rsid w:val="003123F2"/>
    <w:rsid w:val="00331025"/>
    <w:rsid w:val="003345AA"/>
    <w:rsid w:val="003346CD"/>
    <w:rsid w:val="00336E13"/>
    <w:rsid w:val="003516F1"/>
    <w:rsid w:val="0035741A"/>
    <w:rsid w:val="003608DB"/>
    <w:rsid w:val="0037413D"/>
    <w:rsid w:val="00376B73"/>
    <w:rsid w:val="00396CB3"/>
    <w:rsid w:val="00396CD2"/>
    <w:rsid w:val="00397796"/>
    <w:rsid w:val="003A122F"/>
    <w:rsid w:val="003A34B8"/>
    <w:rsid w:val="003C50C3"/>
    <w:rsid w:val="003C66A0"/>
    <w:rsid w:val="003D26B1"/>
    <w:rsid w:val="003D2D2E"/>
    <w:rsid w:val="003D6098"/>
    <w:rsid w:val="003E184A"/>
    <w:rsid w:val="00404B15"/>
    <w:rsid w:val="00404F5A"/>
    <w:rsid w:val="00410941"/>
    <w:rsid w:val="00413D0A"/>
    <w:rsid w:val="0043111A"/>
    <w:rsid w:val="0043634A"/>
    <w:rsid w:val="00447CB0"/>
    <w:rsid w:val="00452575"/>
    <w:rsid w:val="004815FC"/>
    <w:rsid w:val="00492D1D"/>
    <w:rsid w:val="004A1838"/>
    <w:rsid w:val="004A183F"/>
    <w:rsid w:val="004C00F6"/>
    <w:rsid w:val="004C14AD"/>
    <w:rsid w:val="004C66D9"/>
    <w:rsid w:val="004D46AE"/>
    <w:rsid w:val="004E3812"/>
    <w:rsid w:val="004F122D"/>
    <w:rsid w:val="004F3135"/>
    <w:rsid w:val="004F520F"/>
    <w:rsid w:val="00505CCC"/>
    <w:rsid w:val="00516200"/>
    <w:rsid w:val="0052392C"/>
    <w:rsid w:val="00525857"/>
    <w:rsid w:val="00525960"/>
    <w:rsid w:val="00557678"/>
    <w:rsid w:val="00562548"/>
    <w:rsid w:val="0059416B"/>
    <w:rsid w:val="005A24FF"/>
    <w:rsid w:val="005A5BE3"/>
    <w:rsid w:val="005B24F2"/>
    <w:rsid w:val="005C3F9D"/>
    <w:rsid w:val="005C5D48"/>
    <w:rsid w:val="005C7146"/>
    <w:rsid w:val="005D0B41"/>
    <w:rsid w:val="005D73E8"/>
    <w:rsid w:val="005E19C6"/>
    <w:rsid w:val="005E1B7B"/>
    <w:rsid w:val="005E26EB"/>
    <w:rsid w:val="005E6817"/>
    <w:rsid w:val="005F1CE1"/>
    <w:rsid w:val="00607551"/>
    <w:rsid w:val="0061465D"/>
    <w:rsid w:val="006260E2"/>
    <w:rsid w:val="00627A37"/>
    <w:rsid w:val="00637AA1"/>
    <w:rsid w:val="00644C53"/>
    <w:rsid w:val="006503AF"/>
    <w:rsid w:val="00654946"/>
    <w:rsid w:val="00665450"/>
    <w:rsid w:val="00671F8F"/>
    <w:rsid w:val="00673C65"/>
    <w:rsid w:val="006847EA"/>
    <w:rsid w:val="006847EB"/>
    <w:rsid w:val="00684FC2"/>
    <w:rsid w:val="006B7E14"/>
    <w:rsid w:val="006C3E7A"/>
    <w:rsid w:val="006C406E"/>
    <w:rsid w:val="006D6185"/>
    <w:rsid w:val="006E01E5"/>
    <w:rsid w:val="006F1D68"/>
    <w:rsid w:val="006F6558"/>
    <w:rsid w:val="006F7A57"/>
    <w:rsid w:val="00715754"/>
    <w:rsid w:val="00717AD0"/>
    <w:rsid w:val="00720CA4"/>
    <w:rsid w:val="007229F8"/>
    <w:rsid w:val="007246E1"/>
    <w:rsid w:val="00734916"/>
    <w:rsid w:val="00740580"/>
    <w:rsid w:val="007631E7"/>
    <w:rsid w:val="0076756E"/>
    <w:rsid w:val="00787E16"/>
    <w:rsid w:val="007926C1"/>
    <w:rsid w:val="007A01BE"/>
    <w:rsid w:val="007A0B71"/>
    <w:rsid w:val="007A41E3"/>
    <w:rsid w:val="007B383D"/>
    <w:rsid w:val="007C0BA9"/>
    <w:rsid w:val="007C7444"/>
    <w:rsid w:val="007D1853"/>
    <w:rsid w:val="007E110D"/>
    <w:rsid w:val="007F2CF6"/>
    <w:rsid w:val="007F39A7"/>
    <w:rsid w:val="00803FD7"/>
    <w:rsid w:val="00807246"/>
    <w:rsid w:val="008079A0"/>
    <w:rsid w:val="00813A5D"/>
    <w:rsid w:val="00817925"/>
    <w:rsid w:val="00831D70"/>
    <w:rsid w:val="00841309"/>
    <w:rsid w:val="008555AB"/>
    <w:rsid w:val="008779D6"/>
    <w:rsid w:val="00882C0F"/>
    <w:rsid w:val="00886CBD"/>
    <w:rsid w:val="0089004D"/>
    <w:rsid w:val="008A2A10"/>
    <w:rsid w:val="008A3942"/>
    <w:rsid w:val="008A5B18"/>
    <w:rsid w:val="008B7A2C"/>
    <w:rsid w:val="008F1C76"/>
    <w:rsid w:val="00913238"/>
    <w:rsid w:val="00915B51"/>
    <w:rsid w:val="00917D87"/>
    <w:rsid w:val="009228BE"/>
    <w:rsid w:val="0092419E"/>
    <w:rsid w:val="00924DE6"/>
    <w:rsid w:val="00930E21"/>
    <w:rsid w:val="009345C7"/>
    <w:rsid w:val="00937C5F"/>
    <w:rsid w:val="009625AA"/>
    <w:rsid w:val="00963FFF"/>
    <w:rsid w:val="00977745"/>
    <w:rsid w:val="00985F7D"/>
    <w:rsid w:val="00987F3B"/>
    <w:rsid w:val="009939EB"/>
    <w:rsid w:val="009A5E60"/>
    <w:rsid w:val="009C5AD2"/>
    <w:rsid w:val="009D39E9"/>
    <w:rsid w:val="009D49DC"/>
    <w:rsid w:val="009E2E00"/>
    <w:rsid w:val="009E6736"/>
    <w:rsid w:val="00A00711"/>
    <w:rsid w:val="00A07A06"/>
    <w:rsid w:val="00A11F06"/>
    <w:rsid w:val="00A206CA"/>
    <w:rsid w:val="00A22B08"/>
    <w:rsid w:val="00A24116"/>
    <w:rsid w:val="00A32311"/>
    <w:rsid w:val="00A32C7A"/>
    <w:rsid w:val="00A3638B"/>
    <w:rsid w:val="00A40F96"/>
    <w:rsid w:val="00A5138D"/>
    <w:rsid w:val="00A62360"/>
    <w:rsid w:val="00A81F6C"/>
    <w:rsid w:val="00A9066E"/>
    <w:rsid w:val="00A907A6"/>
    <w:rsid w:val="00A96F6F"/>
    <w:rsid w:val="00AC7479"/>
    <w:rsid w:val="00AF04ED"/>
    <w:rsid w:val="00AF2DE5"/>
    <w:rsid w:val="00AF719A"/>
    <w:rsid w:val="00AF7BF0"/>
    <w:rsid w:val="00B00E3F"/>
    <w:rsid w:val="00B010B5"/>
    <w:rsid w:val="00B028C3"/>
    <w:rsid w:val="00B04D0D"/>
    <w:rsid w:val="00B10EFD"/>
    <w:rsid w:val="00B138B6"/>
    <w:rsid w:val="00B422ED"/>
    <w:rsid w:val="00B44651"/>
    <w:rsid w:val="00B47CFE"/>
    <w:rsid w:val="00B531FB"/>
    <w:rsid w:val="00B62F61"/>
    <w:rsid w:val="00B65A71"/>
    <w:rsid w:val="00B77506"/>
    <w:rsid w:val="00B8503C"/>
    <w:rsid w:val="00B90AA1"/>
    <w:rsid w:val="00BA2BD6"/>
    <w:rsid w:val="00BB1B97"/>
    <w:rsid w:val="00BB59C3"/>
    <w:rsid w:val="00BD39F5"/>
    <w:rsid w:val="00BD4A51"/>
    <w:rsid w:val="00BD7A1D"/>
    <w:rsid w:val="00BE53C5"/>
    <w:rsid w:val="00BF0366"/>
    <w:rsid w:val="00C0001C"/>
    <w:rsid w:val="00C01505"/>
    <w:rsid w:val="00C34A2B"/>
    <w:rsid w:val="00C45803"/>
    <w:rsid w:val="00C45D8F"/>
    <w:rsid w:val="00C47CF8"/>
    <w:rsid w:val="00C52AE5"/>
    <w:rsid w:val="00C5371A"/>
    <w:rsid w:val="00C56682"/>
    <w:rsid w:val="00C727ED"/>
    <w:rsid w:val="00C73E9F"/>
    <w:rsid w:val="00C873AE"/>
    <w:rsid w:val="00C936F0"/>
    <w:rsid w:val="00CA3AE8"/>
    <w:rsid w:val="00CA4045"/>
    <w:rsid w:val="00CB72C2"/>
    <w:rsid w:val="00CF2F5E"/>
    <w:rsid w:val="00D12EFC"/>
    <w:rsid w:val="00D148BE"/>
    <w:rsid w:val="00D21CFE"/>
    <w:rsid w:val="00D26A30"/>
    <w:rsid w:val="00D26E5A"/>
    <w:rsid w:val="00D405B6"/>
    <w:rsid w:val="00D43B0E"/>
    <w:rsid w:val="00D60144"/>
    <w:rsid w:val="00D70640"/>
    <w:rsid w:val="00D75AE5"/>
    <w:rsid w:val="00D935FF"/>
    <w:rsid w:val="00D95A16"/>
    <w:rsid w:val="00D973C8"/>
    <w:rsid w:val="00DA5386"/>
    <w:rsid w:val="00DB0C97"/>
    <w:rsid w:val="00DB6C98"/>
    <w:rsid w:val="00DE1B3B"/>
    <w:rsid w:val="00DE425C"/>
    <w:rsid w:val="00DF3A82"/>
    <w:rsid w:val="00E002F4"/>
    <w:rsid w:val="00E020D9"/>
    <w:rsid w:val="00E151B2"/>
    <w:rsid w:val="00E158D2"/>
    <w:rsid w:val="00E24223"/>
    <w:rsid w:val="00E34B72"/>
    <w:rsid w:val="00E52A90"/>
    <w:rsid w:val="00E5577A"/>
    <w:rsid w:val="00E55E84"/>
    <w:rsid w:val="00E67F58"/>
    <w:rsid w:val="00E936C0"/>
    <w:rsid w:val="00EA3E30"/>
    <w:rsid w:val="00EB15D0"/>
    <w:rsid w:val="00EB165F"/>
    <w:rsid w:val="00ED0080"/>
    <w:rsid w:val="00ED0DA2"/>
    <w:rsid w:val="00ED34CA"/>
    <w:rsid w:val="00EE12B5"/>
    <w:rsid w:val="00EE23A7"/>
    <w:rsid w:val="00EE35DD"/>
    <w:rsid w:val="00EE45EA"/>
    <w:rsid w:val="00F01102"/>
    <w:rsid w:val="00F13BF1"/>
    <w:rsid w:val="00F23532"/>
    <w:rsid w:val="00F26D81"/>
    <w:rsid w:val="00F42718"/>
    <w:rsid w:val="00F428BD"/>
    <w:rsid w:val="00F45F9A"/>
    <w:rsid w:val="00F665FF"/>
    <w:rsid w:val="00F66AA6"/>
    <w:rsid w:val="00F70236"/>
    <w:rsid w:val="00F75443"/>
    <w:rsid w:val="00F93781"/>
    <w:rsid w:val="00F93D3C"/>
    <w:rsid w:val="00FA320A"/>
    <w:rsid w:val="00FB328A"/>
    <w:rsid w:val="00FD476E"/>
    <w:rsid w:val="00FE4B27"/>
    <w:rsid w:val="00FF1B69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FDFA4"/>
  <w15:chartTrackingRefBased/>
  <w15:docId w15:val="{81DB8FA8-768B-41AA-8152-565FC2A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rsid w:val="00DE425C"/>
    <w:pPr>
      <w:spacing w:line="360" w:lineRule="auto"/>
      <w:jc w:val="both"/>
    </w:pPr>
    <w:rPr>
      <w:rFonts w:ascii="Bookman Old Style" w:hAnsi="Bookman Old Style" w:cs="Arial"/>
    </w:rPr>
  </w:style>
  <w:style w:type="character" w:customStyle="1" w:styleId="TekstpodstawowyZnak">
    <w:name w:val="Tekst podstawowy Znak"/>
    <w:link w:val="Tekstpodstawowy"/>
    <w:rsid w:val="00DE425C"/>
    <w:rPr>
      <w:rFonts w:ascii="Bookman Old Style" w:hAnsi="Bookman Old Style" w:cs="Arial"/>
      <w:sz w:val="24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0471E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5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85F7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85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F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F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6349-403E-483D-AFFA-13026547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ewa.sowinska-luc@pwr.edu.pl</cp:lastModifiedBy>
  <cp:revision>2</cp:revision>
  <cp:lastPrinted>2022-11-04T09:08:00Z</cp:lastPrinted>
  <dcterms:created xsi:type="dcterms:W3CDTF">2023-10-10T06:57:00Z</dcterms:created>
  <dcterms:modified xsi:type="dcterms:W3CDTF">2023-10-10T06:57:00Z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